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CFCA" w14:textId="77777777" w:rsidR="007C0D8D" w:rsidRPr="00813F4D" w:rsidRDefault="007C0D8D" w:rsidP="00BC26EC">
      <w:pPr>
        <w:pStyle w:val="Sinespaciado"/>
        <w:spacing w:line="276" w:lineRule="auto"/>
        <w:contextualSpacing/>
        <w:rPr>
          <w:rFonts w:ascii="Helvetica" w:hAnsi="Helvetica" w:cs="Times New Roman"/>
          <w:b/>
          <w:bCs/>
          <w:sz w:val="24"/>
          <w:szCs w:val="24"/>
          <w:lang w:val="es-ES_tradnl"/>
        </w:rPr>
      </w:pPr>
    </w:p>
    <w:p w14:paraId="1DD3C1F5" w14:textId="77777777" w:rsidR="003231EA" w:rsidRPr="00813F4D" w:rsidRDefault="003231EA" w:rsidP="00BC26EC">
      <w:pPr>
        <w:spacing w:after="0" w:line="276" w:lineRule="auto"/>
        <w:contextualSpacing/>
        <w:jc w:val="center"/>
        <w:rPr>
          <w:rFonts w:ascii="Helvetica" w:hAnsi="Helvetica" w:cs="Times New Roman"/>
          <w:b/>
          <w:bCs/>
          <w:sz w:val="24"/>
          <w:szCs w:val="24"/>
          <w:lang w:val="es-ES_tradnl"/>
        </w:rPr>
      </w:pPr>
      <w:r w:rsidRPr="00813F4D">
        <w:rPr>
          <w:rFonts w:ascii="Helvetica" w:hAnsi="Helvetica" w:cs="Times New Roman"/>
          <w:b/>
          <w:bCs/>
          <w:sz w:val="24"/>
          <w:szCs w:val="24"/>
          <w:lang w:val="es-ES_tradnl"/>
        </w:rPr>
        <w:t>MARCO NORMATIVO</w:t>
      </w:r>
    </w:p>
    <w:p w14:paraId="6BDF9ED3" w14:textId="77777777" w:rsidR="003231EA" w:rsidRPr="00813F4D" w:rsidRDefault="003231EA" w:rsidP="00BC26EC">
      <w:pPr>
        <w:spacing w:after="0" w:line="276" w:lineRule="auto"/>
        <w:contextualSpacing/>
        <w:jc w:val="center"/>
        <w:rPr>
          <w:rFonts w:ascii="Helvetica" w:hAnsi="Helvetica" w:cs="Times New Roman"/>
          <w:b/>
          <w:bCs/>
          <w:sz w:val="24"/>
          <w:szCs w:val="24"/>
          <w:lang w:val="es-ES_tradnl"/>
        </w:rPr>
      </w:pPr>
    </w:p>
    <w:p w14:paraId="5FC48B86" w14:textId="02B90944" w:rsidR="003231EA" w:rsidRPr="00813F4D" w:rsidRDefault="003231EA" w:rsidP="00BC26EC">
      <w:pPr>
        <w:spacing w:after="0" w:line="276" w:lineRule="auto"/>
        <w:contextualSpacing/>
        <w:jc w:val="center"/>
        <w:rPr>
          <w:rFonts w:ascii="Helvetica" w:hAnsi="Helvetica" w:cs="Times New Roman"/>
          <w:b/>
          <w:bCs/>
          <w:sz w:val="24"/>
          <w:szCs w:val="24"/>
          <w:lang w:val="es-ES_tradnl"/>
        </w:rPr>
      </w:pPr>
      <w:r w:rsidRPr="00813F4D">
        <w:rPr>
          <w:rFonts w:ascii="Helvetica" w:hAnsi="Helvetica" w:cs="Times New Roman"/>
          <w:b/>
          <w:bCs/>
          <w:sz w:val="24"/>
          <w:szCs w:val="24"/>
          <w:lang w:val="es-ES_tradnl"/>
        </w:rPr>
        <w:t>COMISIÓN NACIONAL CONTRA LA CORRUPCIÓN</w:t>
      </w:r>
    </w:p>
    <w:p w14:paraId="37F399FC" w14:textId="77777777" w:rsidR="003231EA" w:rsidRPr="00813F4D" w:rsidRDefault="003231EA" w:rsidP="00BC26EC">
      <w:pPr>
        <w:spacing w:after="0" w:line="276" w:lineRule="auto"/>
        <w:contextualSpacing/>
        <w:rPr>
          <w:rFonts w:ascii="Helvetica" w:hAnsi="Helvetica" w:cs="Times New Roman"/>
          <w:sz w:val="24"/>
          <w:szCs w:val="24"/>
          <w:lang w:val="es-ES_tradnl"/>
        </w:rPr>
      </w:pPr>
    </w:p>
    <w:p w14:paraId="12298460" w14:textId="052A00C9" w:rsidR="003231EA" w:rsidRPr="00813F4D" w:rsidRDefault="003231EA" w:rsidP="00BC26EC">
      <w:pPr>
        <w:spacing w:after="0" w:line="276" w:lineRule="auto"/>
        <w:contextualSpacing/>
        <w:rPr>
          <w:rFonts w:ascii="Helvetica" w:hAnsi="Helvetica" w:cs="Times New Roman"/>
          <w:b/>
          <w:bCs/>
          <w:sz w:val="24"/>
          <w:szCs w:val="24"/>
          <w:lang w:val="es-ES_tradnl"/>
        </w:rPr>
      </w:pPr>
      <w:r w:rsidRPr="00813F4D">
        <w:rPr>
          <w:rFonts w:ascii="Helvetica" w:hAnsi="Helvetica" w:cs="Times New Roman"/>
          <w:b/>
          <w:bCs/>
          <w:sz w:val="24"/>
          <w:szCs w:val="24"/>
          <w:lang w:val="es-ES_tradnl"/>
        </w:rPr>
        <w:t>Constitución Política de la República de Guatemala</w:t>
      </w:r>
    </w:p>
    <w:p w14:paraId="64F6A241" w14:textId="77777777" w:rsidR="003231EA" w:rsidRPr="00813F4D" w:rsidRDefault="003231EA" w:rsidP="00BC26EC">
      <w:pPr>
        <w:spacing w:after="0" w:line="276" w:lineRule="auto"/>
        <w:contextualSpacing/>
        <w:rPr>
          <w:rFonts w:ascii="Helvetica" w:hAnsi="Helvetica" w:cs="Times New Roman"/>
          <w:sz w:val="24"/>
          <w:szCs w:val="24"/>
          <w:lang w:val="es-ES_tradnl"/>
        </w:rPr>
      </w:pPr>
    </w:p>
    <w:p w14:paraId="5DC8118B" w14:textId="4B4E0514" w:rsidR="003231EA" w:rsidRPr="00813F4D" w:rsidRDefault="00006E54" w:rsidP="00BC26EC">
      <w:pPr>
        <w:spacing w:after="0" w:line="276" w:lineRule="auto"/>
        <w:contextualSpacing/>
        <w:rPr>
          <w:rFonts w:ascii="Helvetica" w:hAnsi="Helvetica" w:cs="Times New Roman"/>
          <w:i/>
          <w:iCs/>
          <w:sz w:val="24"/>
          <w:szCs w:val="24"/>
          <w:lang w:val="es-ES_tradnl"/>
        </w:rPr>
      </w:pPr>
      <w:r w:rsidRPr="00813F4D">
        <w:rPr>
          <w:rFonts w:ascii="Helvetica" w:hAnsi="Helvetica" w:cs="Times New Roman"/>
          <w:i/>
          <w:iCs/>
          <w:sz w:val="24"/>
          <w:szCs w:val="24"/>
          <w:lang w:val="es-ES_tradnl"/>
        </w:rPr>
        <w:t>“</w:t>
      </w:r>
      <w:r w:rsidR="003231EA" w:rsidRPr="00813F4D">
        <w:rPr>
          <w:rFonts w:ascii="Helvetica" w:hAnsi="Helvetica" w:cs="Times New Roman"/>
          <w:i/>
          <w:iCs/>
          <w:sz w:val="24"/>
          <w:szCs w:val="24"/>
          <w:lang w:val="es-ES_tradnl"/>
        </w:rPr>
        <w:t>ART</w:t>
      </w:r>
      <w:r w:rsidR="00CC3A22" w:rsidRPr="00813F4D">
        <w:rPr>
          <w:rFonts w:ascii="Helvetica" w:hAnsi="Helvetica" w:cs="Times New Roman"/>
          <w:i/>
          <w:iCs/>
          <w:sz w:val="24"/>
          <w:szCs w:val="24"/>
          <w:lang w:val="es-ES_tradnl"/>
        </w:rPr>
        <w:t>Í</w:t>
      </w:r>
      <w:r w:rsidR="003231EA" w:rsidRPr="00813F4D">
        <w:rPr>
          <w:rFonts w:ascii="Helvetica" w:hAnsi="Helvetica" w:cs="Times New Roman"/>
          <w:i/>
          <w:iCs/>
          <w:sz w:val="24"/>
          <w:szCs w:val="24"/>
          <w:lang w:val="es-ES_tradnl"/>
        </w:rPr>
        <w:t>CULO 1. Protección a la Persona. El Estado de Guatemala se organiza para proteger a la persona y a la familia; su fin supremo es la realización del bien común</w:t>
      </w:r>
      <w:r w:rsidRPr="00813F4D">
        <w:rPr>
          <w:rFonts w:ascii="Helvetica" w:hAnsi="Helvetica" w:cs="Times New Roman"/>
          <w:i/>
          <w:iCs/>
          <w:sz w:val="24"/>
          <w:szCs w:val="24"/>
          <w:lang w:val="es-ES_tradnl"/>
        </w:rPr>
        <w:t>”.</w:t>
      </w:r>
    </w:p>
    <w:p w14:paraId="66952461" w14:textId="77777777" w:rsidR="00006E54" w:rsidRPr="00813F4D" w:rsidRDefault="00006E54" w:rsidP="00BC26EC">
      <w:pPr>
        <w:spacing w:after="0" w:line="276" w:lineRule="auto"/>
        <w:contextualSpacing/>
        <w:rPr>
          <w:rFonts w:ascii="Helvetica" w:hAnsi="Helvetica" w:cs="Times New Roman"/>
          <w:sz w:val="24"/>
          <w:szCs w:val="24"/>
          <w:lang w:val="es-ES_tradnl"/>
        </w:rPr>
      </w:pPr>
    </w:p>
    <w:p w14:paraId="01EDAD75" w14:textId="341AD2EF" w:rsidR="00CC3A22" w:rsidRPr="00813F4D" w:rsidRDefault="00006E54" w:rsidP="00BC26EC">
      <w:pPr>
        <w:spacing w:after="0" w:line="276" w:lineRule="auto"/>
        <w:contextualSpacing/>
        <w:rPr>
          <w:rFonts w:ascii="Helvetica" w:hAnsi="Helvetica" w:cs="Times New Roman"/>
          <w:i/>
          <w:iCs/>
          <w:sz w:val="24"/>
          <w:szCs w:val="24"/>
          <w:lang w:val="es-ES_tradnl"/>
        </w:rPr>
      </w:pPr>
      <w:r w:rsidRPr="00813F4D">
        <w:rPr>
          <w:rFonts w:ascii="Helvetica" w:hAnsi="Helvetica" w:cs="Times New Roman"/>
          <w:i/>
          <w:iCs/>
          <w:sz w:val="24"/>
          <w:szCs w:val="24"/>
          <w:lang w:val="es-ES_tradnl"/>
        </w:rPr>
        <w:t>“</w:t>
      </w:r>
      <w:r w:rsidR="003231EA" w:rsidRPr="00813F4D">
        <w:rPr>
          <w:rFonts w:ascii="Helvetica" w:hAnsi="Helvetica" w:cs="Times New Roman"/>
          <w:i/>
          <w:iCs/>
          <w:sz w:val="24"/>
          <w:szCs w:val="24"/>
          <w:lang w:val="es-ES_tradnl"/>
        </w:rPr>
        <w:t>ART</w:t>
      </w:r>
      <w:r w:rsidR="00CC3A22" w:rsidRPr="00813F4D">
        <w:rPr>
          <w:rFonts w:ascii="Helvetica" w:hAnsi="Helvetica" w:cs="Times New Roman"/>
          <w:i/>
          <w:iCs/>
          <w:sz w:val="24"/>
          <w:szCs w:val="24"/>
          <w:lang w:val="es-ES_tradnl"/>
        </w:rPr>
        <w:t>Í</w:t>
      </w:r>
      <w:r w:rsidR="003231EA" w:rsidRPr="00813F4D">
        <w:rPr>
          <w:rFonts w:ascii="Helvetica" w:hAnsi="Helvetica" w:cs="Times New Roman"/>
          <w:i/>
          <w:iCs/>
          <w:sz w:val="24"/>
          <w:szCs w:val="24"/>
          <w:lang w:val="es-ES_tradnl"/>
        </w:rPr>
        <w:t>CULO 2. Deberes del Estado. Es deber del Estado garantizarles a los habitantes de la República la vida, la libertad, la justicia, la seguridad, la paz y el desarrollo integral de la persona</w:t>
      </w:r>
      <w:r w:rsidRPr="00813F4D">
        <w:rPr>
          <w:rFonts w:ascii="Helvetica" w:hAnsi="Helvetica" w:cs="Times New Roman"/>
          <w:i/>
          <w:iCs/>
          <w:sz w:val="24"/>
          <w:szCs w:val="24"/>
          <w:lang w:val="es-ES_tradnl"/>
        </w:rPr>
        <w:t>”.</w:t>
      </w:r>
    </w:p>
    <w:p w14:paraId="7EF86D5E" w14:textId="77777777" w:rsidR="00CC3A22" w:rsidRPr="00813F4D" w:rsidRDefault="00CC3A22" w:rsidP="00BC26EC">
      <w:pPr>
        <w:spacing w:after="0" w:line="276" w:lineRule="auto"/>
        <w:contextualSpacing/>
        <w:rPr>
          <w:rFonts w:ascii="Helvetica" w:hAnsi="Helvetica" w:cs="Times New Roman"/>
          <w:sz w:val="24"/>
          <w:szCs w:val="24"/>
          <w:lang w:val="es-ES_tradnl"/>
        </w:rPr>
      </w:pPr>
    </w:p>
    <w:p w14:paraId="7D16D50A" w14:textId="77777777" w:rsidR="003231EA" w:rsidRPr="00813F4D" w:rsidRDefault="003231EA" w:rsidP="00BC26EC">
      <w:pPr>
        <w:spacing w:after="0" w:line="276" w:lineRule="auto"/>
        <w:contextualSpacing/>
        <w:rPr>
          <w:rFonts w:ascii="Helvetica" w:hAnsi="Helvetica" w:cs="Times New Roman"/>
          <w:b/>
          <w:bCs/>
          <w:sz w:val="24"/>
          <w:szCs w:val="24"/>
          <w:lang w:val="es-ES_tradnl"/>
        </w:rPr>
      </w:pPr>
      <w:r w:rsidRPr="00813F4D">
        <w:rPr>
          <w:rFonts w:ascii="Helvetica" w:hAnsi="Helvetica" w:cs="Times New Roman"/>
          <w:b/>
          <w:bCs/>
          <w:sz w:val="24"/>
          <w:szCs w:val="24"/>
          <w:lang w:val="es-ES_tradnl"/>
        </w:rPr>
        <w:t>Normativa de creación y establecimiento de las funciones de la Comisión</w:t>
      </w:r>
    </w:p>
    <w:p w14:paraId="637CFB4E" w14:textId="77777777" w:rsidR="00CC3A22" w:rsidRPr="00813F4D" w:rsidRDefault="00CC3A22" w:rsidP="00BC26EC">
      <w:pPr>
        <w:spacing w:after="0" w:line="276" w:lineRule="auto"/>
        <w:contextualSpacing/>
        <w:rPr>
          <w:rFonts w:ascii="Helvetica" w:hAnsi="Helvetica" w:cs="Times New Roman"/>
          <w:sz w:val="24"/>
          <w:szCs w:val="24"/>
          <w:lang w:val="es-ES_tradnl"/>
        </w:rPr>
      </w:pPr>
    </w:p>
    <w:p w14:paraId="42ACB9B2" w14:textId="4162D27B" w:rsidR="00CC3A22" w:rsidRPr="00813F4D" w:rsidRDefault="00CC3A22" w:rsidP="00BC26EC">
      <w:pPr>
        <w:spacing w:after="0" w:line="276" w:lineRule="auto"/>
        <w:contextualSpacing/>
        <w:rPr>
          <w:rFonts w:ascii="Helvetica" w:hAnsi="Helvetica" w:cs="Times New Roman"/>
          <w:sz w:val="24"/>
          <w:szCs w:val="24"/>
          <w:lang w:val="es-ES_tradnl"/>
        </w:rPr>
      </w:pPr>
      <w:r w:rsidRPr="00813F4D">
        <w:rPr>
          <w:rFonts w:ascii="Helvetica" w:hAnsi="Helvetica" w:cs="Times New Roman"/>
          <w:sz w:val="24"/>
          <w:szCs w:val="24"/>
          <w:lang w:val="es-ES_tradnl"/>
        </w:rPr>
        <w:t>Acuerdo Gubernativo Número 28-2020 del Presidente de la República y sus reformas contenidas en las siguientes instrumentos normativos:</w:t>
      </w:r>
    </w:p>
    <w:p w14:paraId="54D9A96F" w14:textId="1376CB33" w:rsidR="00CC3A22" w:rsidRPr="00813F4D" w:rsidRDefault="00CC3A22" w:rsidP="00BC26EC">
      <w:pPr>
        <w:spacing w:after="0" w:line="276" w:lineRule="auto"/>
        <w:contextualSpacing/>
        <w:rPr>
          <w:rFonts w:ascii="Helvetica" w:hAnsi="Helvetica" w:cs="Times New Roman"/>
          <w:sz w:val="24"/>
          <w:szCs w:val="24"/>
          <w:lang w:val="es-ES_tradnl"/>
        </w:rPr>
      </w:pPr>
    </w:p>
    <w:p w14:paraId="6D6A3B8E" w14:textId="30F90AD6" w:rsidR="00006E54" w:rsidRPr="00813F4D" w:rsidRDefault="00006E54" w:rsidP="00BC26EC">
      <w:pPr>
        <w:pStyle w:val="Prrafodelista"/>
        <w:numPr>
          <w:ilvl w:val="0"/>
          <w:numId w:val="2"/>
        </w:numPr>
        <w:spacing w:after="0" w:line="276" w:lineRule="auto"/>
        <w:rPr>
          <w:rFonts w:ascii="Helvetica" w:hAnsi="Helvetica" w:cs="Times New Roman"/>
          <w:sz w:val="24"/>
          <w:szCs w:val="24"/>
          <w:lang w:val="es-ES_tradnl"/>
        </w:rPr>
      </w:pPr>
      <w:r w:rsidRPr="00813F4D">
        <w:rPr>
          <w:rFonts w:ascii="Helvetica" w:hAnsi="Helvetica" w:cs="Times New Roman"/>
          <w:sz w:val="24"/>
          <w:szCs w:val="24"/>
          <w:lang w:val="es-ES_tradnl"/>
        </w:rPr>
        <w:t>Acuerdo Gubernativo Número 34-2020 del Presidente de la República</w:t>
      </w:r>
    </w:p>
    <w:p w14:paraId="67889454" w14:textId="1EE25F2E" w:rsidR="00006E54" w:rsidRPr="00813F4D" w:rsidRDefault="00006E54" w:rsidP="00BC26EC">
      <w:pPr>
        <w:pStyle w:val="Prrafodelista"/>
        <w:numPr>
          <w:ilvl w:val="0"/>
          <w:numId w:val="2"/>
        </w:numPr>
        <w:spacing w:after="0" w:line="276" w:lineRule="auto"/>
        <w:rPr>
          <w:rFonts w:ascii="Helvetica" w:hAnsi="Helvetica" w:cs="Times New Roman"/>
          <w:sz w:val="24"/>
          <w:szCs w:val="24"/>
          <w:lang w:val="es-ES_tradnl"/>
        </w:rPr>
      </w:pPr>
      <w:r w:rsidRPr="00813F4D">
        <w:rPr>
          <w:rFonts w:ascii="Helvetica" w:hAnsi="Helvetica" w:cs="Times New Roman"/>
          <w:sz w:val="24"/>
          <w:szCs w:val="24"/>
          <w:lang w:val="es-ES_tradnl"/>
        </w:rPr>
        <w:t>Acuerdo Gubernativo Número 91-2021 del Presidente de la República</w:t>
      </w:r>
    </w:p>
    <w:p w14:paraId="33C7CC79" w14:textId="132B8D22" w:rsidR="00006E54" w:rsidRPr="00813F4D" w:rsidRDefault="00006E54" w:rsidP="00BC26EC">
      <w:pPr>
        <w:pStyle w:val="Prrafodelista"/>
        <w:numPr>
          <w:ilvl w:val="0"/>
          <w:numId w:val="2"/>
        </w:numPr>
        <w:spacing w:after="0" w:line="276" w:lineRule="auto"/>
        <w:rPr>
          <w:rFonts w:ascii="Helvetica" w:hAnsi="Helvetica" w:cs="Times New Roman"/>
          <w:sz w:val="24"/>
          <w:szCs w:val="24"/>
          <w:lang w:val="es-ES_tradnl"/>
        </w:rPr>
      </w:pPr>
      <w:r w:rsidRPr="00813F4D">
        <w:rPr>
          <w:rFonts w:ascii="Helvetica" w:hAnsi="Helvetica" w:cs="Times New Roman"/>
          <w:sz w:val="24"/>
          <w:szCs w:val="24"/>
          <w:lang w:val="es-ES_tradnl"/>
        </w:rPr>
        <w:t>Acuerdo Gubernativo Número 72-2023 del Presidente de la República</w:t>
      </w:r>
    </w:p>
    <w:p w14:paraId="3D32D1EB" w14:textId="179B2BC0" w:rsidR="00006E54" w:rsidRPr="00813F4D" w:rsidRDefault="00006E54" w:rsidP="00BC26EC">
      <w:pPr>
        <w:pStyle w:val="Prrafodelista"/>
        <w:numPr>
          <w:ilvl w:val="0"/>
          <w:numId w:val="2"/>
        </w:numPr>
        <w:spacing w:after="0" w:line="276" w:lineRule="auto"/>
        <w:rPr>
          <w:rFonts w:ascii="Helvetica" w:hAnsi="Helvetica" w:cs="Times New Roman"/>
          <w:sz w:val="24"/>
          <w:szCs w:val="24"/>
          <w:lang w:val="es-ES_tradnl"/>
        </w:rPr>
      </w:pPr>
      <w:r w:rsidRPr="00813F4D">
        <w:rPr>
          <w:rFonts w:ascii="Helvetica" w:hAnsi="Helvetica" w:cs="Times New Roman"/>
          <w:sz w:val="24"/>
          <w:szCs w:val="24"/>
          <w:lang w:val="es-ES_tradnl"/>
        </w:rPr>
        <w:t>Acuerdo Gubernativo Número 31-2024 del Presidente de la República</w:t>
      </w:r>
    </w:p>
    <w:p w14:paraId="3A416A0E" w14:textId="77777777" w:rsidR="00CC3A22" w:rsidRPr="00813F4D" w:rsidRDefault="00CC3A22" w:rsidP="00BC26EC">
      <w:pPr>
        <w:spacing w:after="0" w:line="276" w:lineRule="auto"/>
        <w:contextualSpacing/>
        <w:rPr>
          <w:rFonts w:ascii="Helvetica" w:hAnsi="Helvetica" w:cs="Times New Roman"/>
          <w:sz w:val="24"/>
          <w:szCs w:val="24"/>
          <w:lang w:val="es-ES_tradnl"/>
        </w:rPr>
      </w:pPr>
    </w:p>
    <w:p w14:paraId="115FBB9A" w14:textId="62FCC21F" w:rsidR="003231EA" w:rsidRPr="00813F4D" w:rsidRDefault="003231EA" w:rsidP="00BC26EC">
      <w:pPr>
        <w:spacing w:after="0" w:line="276" w:lineRule="auto"/>
        <w:contextualSpacing/>
        <w:rPr>
          <w:rFonts w:ascii="Helvetica" w:hAnsi="Helvetica" w:cs="Times New Roman"/>
          <w:b/>
          <w:bCs/>
          <w:sz w:val="24"/>
          <w:szCs w:val="24"/>
          <w:lang w:val="es-ES_tradnl"/>
        </w:rPr>
      </w:pPr>
      <w:r w:rsidRPr="00813F4D">
        <w:rPr>
          <w:rFonts w:ascii="Helvetica" w:hAnsi="Helvetica" w:cs="Times New Roman"/>
          <w:b/>
          <w:bCs/>
          <w:sz w:val="24"/>
          <w:szCs w:val="24"/>
          <w:lang w:val="es-ES_tradnl"/>
        </w:rPr>
        <w:t xml:space="preserve">Leyes </w:t>
      </w:r>
      <w:r w:rsidR="00006E54" w:rsidRPr="00813F4D">
        <w:rPr>
          <w:rFonts w:ascii="Helvetica" w:hAnsi="Helvetica" w:cs="Times New Roman"/>
          <w:b/>
          <w:bCs/>
          <w:sz w:val="24"/>
          <w:szCs w:val="24"/>
          <w:lang w:val="es-ES_tradnl"/>
        </w:rPr>
        <w:t>relacionadas</w:t>
      </w:r>
    </w:p>
    <w:p w14:paraId="7200D1DC" w14:textId="77777777" w:rsidR="00006E54" w:rsidRPr="00813F4D" w:rsidRDefault="00006E54" w:rsidP="00BC26EC">
      <w:pPr>
        <w:spacing w:after="0" w:line="276" w:lineRule="auto"/>
        <w:contextualSpacing/>
        <w:jc w:val="both"/>
        <w:rPr>
          <w:rFonts w:ascii="Helvetica" w:hAnsi="Helvetica" w:cs="Times New Roman"/>
          <w:sz w:val="24"/>
          <w:szCs w:val="24"/>
          <w:lang w:val="es-ES_tradnl"/>
        </w:rPr>
      </w:pPr>
    </w:p>
    <w:p w14:paraId="20ACB96C" w14:textId="44EF413D" w:rsidR="003231EA" w:rsidRPr="00813F4D" w:rsidRDefault="003231EA" w:rsidP="00BC26EC">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Ley del Organismo Ejecutivo, Decreto Número</w:t>
      </w:r>
      <w:r w:rsidR="00006E54" w:rsidRPr="00813F4D">
        <w:rPr>
          <w:rFonts w:ascii="Helvetica" w:hAnsi="Helvetica" w:cs="Times New Roman"/>
          <w:sz w:val="24"/>
          <w:szCs w:val="24"/>
          <w:lang w:val="es-ES_tradnl"/>
        </w:rPr>
        <w:t xml:space="preserve"> </w:t>
      </w:r>
      <w:r w:rsidRPr="00813F4D">
        <w:rPr>
          <w:rFonts w:ascii="Helvetica" w:hAnsi="Helvetica" w:cs="Times New Roman"/>
          <w:sz w:val="24"/>
          <w:szCs w:val="24"/>
          <w:lang w:val="es-ES_tradnl"/>
        </w:rPr>
        <w:t>114-</w:t>
      </w:r>
      <w:r w:rsidR="00006E54" w:rsidRPr="00813F4D">
        <w:rPr>
          <w:rFonts w:ascii="Helvetica" w:hAnsi="Helvetica" w:cs="Times New Roman"/>
          <w:sz w:val="24"/>
          <w:szCs w:val="24"/>
          <w:lang w:val="es-ES_tradnl"/>
        </w:rPr>
        <w:t>97 del Congreso de la República.</w:t>
      </w:r>
    </w:p>
    <w:p w14:paraId="2D2877F5" w14:textId="663AC6AB" w:rsidR="00006E54" w:rsidRPr="00813F4D" w:rsidRDefault="00006E54" w:rsidP="00BC26EC">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Ley de Probidad y Responsabilidades de Funcionarios y Empleados Públicos, Decreto 89-2002 del Congreso de la República de Guatemala</w:t>
      </w:r>
    </w:p>
    <w:p w14:paraId="43EF2E92" w14:textId="77777777" w:rsidR="00006E54" w:rsidRPr="00813F4D" w:rsidRDefault="00006E54" w:rsidP="00BC26EC">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Ley Orgánica del Presupuesto, Decreto Número 101-97 del Congreso de la República</w:t>
      </w:r>
    </w:p>
    <w:p w14:paraId="71B20F4B" w14:textId="6E3346FA" w:rsidR="003231EA" w:rsidRPr="00813F4D" w:rsidRDefault="003231EA" w:rsidP="00BC26EC">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 xml:space="preserve">Ley de Acceso a la Información Pública, </w:t>
      </w:r>
      <w:r w:rsidR="00006E54" w:rsidRPr="00813F4D">
        <w:rPr>
          <w:rFonts w:ascii="Helvetica" w:hAnsi="Helvetica" w:cs="Times New Roman"/>
          <w:sz w:val="24"/>
          <w:szCs w:val="24"/>
          <w:lang w:val="es-ES_tradnl"/>
        </w:rPr>
        <w:t>Decreto Número 57-2008 del Congreso de la República</w:t>
      </w:r>
    </w:p>
    <w:p w14:paraId="2F555DF5" w14:textId="79024216" w:rsidR="004B328A" w:rsidRPr="00813F4D" w:rsidRDefault="004B328A" w:rsidP="00BC26EC">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Ley del Servicio Civil, Decreto Número 1748 del Congreso de la República de Guatemala</w:t>
      </w:r>
    </w:p>
    <w:p w14:paraId="22DA8F8C" w14:textId="77777777" w:rsidR="00BC26EC" w:rsidRPr="00813F4D" w:rsidRDefault="00BC26EC" w:rsidP="00BC26EC">
      <w:pPr>
        <w:spacing w:after="0" w:line="276" w:lineRule="auto"/>
        <w:jc w:val="both"/>
        <w:rPr>
          <w:rFonts w:ascii="Helvetica" w:hAnsi="Helvetica" w:cs="Times New Roman"/>
          <w:sz w:val="24"/>
          <w:szCs w:val="24"/>
          <w:lang w:val="es-ES_tradnl"/>
        </w:rPr>
      </w:pPr>
    </w:p>
    <w:p w14:paraId="32002E8D" w14:textId="77777777" w:rsidR="00BC26EC" w:rsidRPr="00813F4D" w:rsidRDefault="00BC26EC" w:rsidP="00BC26EC">
      <w:pPr>
        <w:spacing w:after="0" w:line="276" w:lineRule="auto"/>
        <w:jc w:val="both"/>
        <w:rPr>
          <w:rFonts w:ascii="Helvetica" w:hAnsi="Helvetica" w:cs="Times New Roman"/>
          <w:sz w:val="24"/>
          <w:szCs w:val="24"/>
          <w:lang w:val="es-ES_tradnl"/>
        </w:rPr>
      </w:pPr>
    </w:p>
    <w:p w14:paraId="0368D2B7" w14:textId="77777777" w:rsidR="002A7CDA" w:rsidRDefault="002A7CDA" w:rsidP="00BC26EC">
      <w:pPr>
        <w:pStyle w:val="Prrafodelista"/>
        <w:numPr>
          <w:ilvl w:val="0"/>
          <w:numId w:val="2"/>
        </w:numPr>
        <w:spacing w:after="0" w:line="276" w:lineRule="auto"/>
        <w:jc w:val="both"/>
        <w:rPr>
          <w:rFonts w:ascii="Helvetica" w:hAnsi="Helvetica" w:cs="Times New Roman"/>
          <w:sz w:val="24"/>
          <w:szCs w:val="24"/>
          <w:lang w:val="es-ES_tradnl"/>
        </w:rPr>
      </w:pPr>
    </w:p>
    <w:p w14:paraId="2FB09430" w14:textId="77777777" w:rsidR="002A7CDA" w:rsidRDefault="002A7CDA" w:rsidP="002A7CDA">
      <w:pPr>
        <w:pStyle w:val="Prrafodelista"/>
        <w:spacing w:after="0" w:line="276" w:lineRule="auto"/>
        <w:jc w:val="both"/>
        <w:rPr>
          <w:rFonts w:ascii="Helvetica" w:hAnsi="Helvetica" w:cs="Times New Roman"/>
          <w:sz w:val="24"/>
          <w:szCs w:val="24"/>
          <w:lang w:val="es-ES_tradnl"/>
        </w:rPr>
      </w:pPr>
    </w:p>
    <w:p w14:paraId="15C76E8A" w14:textId="65E8D141" w:rsidR="004B328A" w:rsidRPr="00813F4D" w:rsidRDefault="004B328A" w:rsidP="00BC26EC">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Ley de Contrataciones del Estado, Decreto Número 57-92 del Congreso de la República de Guatemala</w:t>
      </w:r>
    </w:p>
    <w:p w14:paraId="54D4520E" w14:textId="77777777" w:rsidR="004B328A" w:rsidRPr="00813F4D" w:rsidRDefault="004B328A" w:rsidP="00BC26EC">
      <w:pPr>
        <w:spacing w:after="0" w:line="276" w:lineRule="auto"/>
        <w:jc w:val="both"/>
        <w:rPr>
          <w:rFonts w:ascii="Helvetica" w:hAnsi="Helvetica" w:cs="Times New Roman"/>
          <w:sz w:val="24"/>
          <w:szCs w:val="24"/>
          <w:lang w:val="es-ES_tradnl"/>
        </w:rPr>
      </w:pPr>
    </w:p>
    <w:p w14:paraId="7A60985A" w14:textId="72CCF070" w:rsidR="00006E54" w:rsidRPr="00813F4D" w:rsidRDefault="00006E54" w:rsidP="00BC26EC">
      <w:pPr>
        <w:spacing w:after="0" w:line="276" w:lineRule="auto"/>
        <w:jc w:val="both"/>
        <w:rPr>
          <w:rFonts w:ascii="Helvetica" w:hAnsi="Helvetica" w:cs="Times New Roman"/>
          <w:b/>
          <w:bCs/>
          <w:sz w:val="24"/>
          <w:szCs w:val="24"/>
          <w:lang w:val="es-ES_tradnl"/>
        </w:rPr>
      </w:pPr>
      <w:r w:rsidRPr="00813F4D">
        <w:rPr>
          <w:rFonts w:ascii="Helvetica" w:hAnsi="Helvetica" w:cs="Times New Roman"/>
          <w:b/>
          <w:bCs/>
          <w:sz w:val="24"/>
          <w:szCs w:val="24"/>
          <w:lang w:val="es-ES_tradnl"/>
        </w:rPr>
        <w:t>Normativa reglamentaria</w:t>
      </w:r>
    </w:p>
    <w:p w14:paraId="051C1E29" w14:textId="77777777" w:rsidR="004B328A" w:rsidRPr="00813F4D" w:rsidRDefault="004B328A" w:rsidP="00BC26EC">
      <w:pPr>
        <w:tabs>
          <w:tab w:val="left" w:pos="2410"/>
        </w:tabs>
        <w:spacing w:after="0" w:line="276" w:lineRule="auto"/>
        <w:jc w:val="both"/>
        <w:rPr>
          <w:rFonts w:ascii="Helvetica" w:hAnsi="Helvetica" w:cs="Times New Roman"/>
          <w:sz w:val="24"/>
          <w:szCs w:val="24"/>
          <w:lang w:val="es-ES_tradnl"/>
        </w:rPr>
      </w:pPr>
    </w:p>
    <w:p w14:paraId="5B1E52DA" w14:textId="320501A0" w:rsidR="00006E54" w:rsidRPr="00813F4D" w:rsidRDefault="00006E54" w:rsidP="00BC26EC">
      <w:pPr>
        <w:pStyle w:val="Prrafodelista"/>
        <w:numPr>
          <w:ilvl w:val="0"/>
          <w:numId w:val="2"/>
        </w:numPr>
        <w:tabs>
          <w:tab w:val="left" w:pos="2410"/>
        </w:tabs>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 xml:space="preserve">Código de Ética del Organismo Ejecutivo, Acuerdo Gubernativo Número 62-2024 </w:t>
      </w:r>
      <w:bookmarkStart w:id="0" w:name="_Hlk167887203"/>
      <w:r w:rsidRPr="00813F4D">
        <w:rPr>
          <w:rFonts w:ascii="Helvetica" w:hAnsi="Helvetica" w:cs="Times New Roman"/>
          <w:sz w:val="24"/>
          <w:szCs w:val="24"/>
          <w:lang w:val="es-ES_tradnl"/>
        </w:rPr>
        <w:t>del Presidente de la República</w:t>
      </w:r>
      <w:bookmarkEnd w:id="0"/>
      <w:r w:rsidRPr="00813F4D">
        <w:rPr>
          <w:rFonts w:ascii="Helvetica" w:hAnsi="Helvetica" w:cs="Times New Roman"/>
          <w:sz w:val="24"/>
          <w:szCs w:val="24"/>
          <w:lang w:val="es-ES_tradnl"/>
        </w:rPr>
        <w:t>.</w:t>
      </w:r>
    </w:p>
    <w:p w14:paraId="7FA94E01" w14:textId="705CC949" w:rsidR="004B328A" w:rsidRPr="00813F4D" w:rsidRDefault="004B328A" w:rsidP="00BC26EC">
      <w:pPr>
        <w:pStyle w:val="Prrafodelista"/>
        <w:numPr>
          <w:ilvl w:val="0"/>
          <w:numId w:val="2"/>
        </w:numPr>
        <w:tabs>
          <w:tab w:val="left" w:pos="2410"/>
        </w:tabs>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Normas Generales y Técnicas de Control Interno Gubernamental, Acuerdo Número A-039-2023 del Contralor General de Cuentas</w:t>
      </w:r>
    </w:p>
    <w:p w14:paraId="7DC96360" w14:textId="77777777" w:rsidR="004B328A" w:rsidRPr="00813F4D" w:rsidRDefault="004B328A" w:rsidP="00BC26EC">
      <w:pPr>
        <w:pStyle w:val="Prrafodelista"/>
        <w:numPr>
          <w:ilvl w:val="0"/>
          <w:numId w:val="2"/>
        </w:numPr>
        <w:tabs>
          <w:tab w:val="left" w:pos="2410"/>
        </w:tabs>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Reglamento de la Ley de Servicio Civil, Acuerdo Gubernativo Número 18-98 del Presidente de la República de Guatemala.</w:t>
      </w:r>
      <w:bookmarkStart w:id="1" w:name="_Hlk167886885"/>
    </w:p>
    <w:p w14:paraId="31F657AE" w14:textId="77777777" w:rsidR="004B328A" w:rsidRPr="00813F4D" w:rsidRDefault="004B328A" w:rsidP="00BC26EC">
      <w:pPr>
        <w:pStyle w:val="Prrafodelista"/>
        <w:numPr>
          <w:ilvl w:val="0"/>
          <w:numId w:val="2"/>
        </w:numPr>
        <w:tabs>
          <w:tab w:val="left" w:pos="2410"/>
        </w:tabs>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Reglamento de la Ley Orgánica del Presupuesto</w:t>
      </w:r>
      <w:bookmarkEnd w:id="1"/>
      <w:r w:rsidRPr="00813F4D">
        <w:rPr>
          <w:rFonts w:ascii="Helvetica" w:hAnsi="Helvetica" w:cs="Times New Roman"/>
          <w:sz w:val="24"/>
          <w:szCs w:val="24"/>
          <w:lang w:val="es-ES_tradnl"/>
        </w:rPr>
        <w:t xml:space="preserve">, </w:t>
      </w:r>
      <w:bookmarkStart w:id="2" w:name="_Hlk167886917"/>
      <w:r w:rsidRPr="00813F4D">
        <w:rPr>
          <w:rFonts w:ascii="Helvetica" w:hAnsi="Helvetica" w:cs="Times New Roman"/>
          <w:sz w:val="24"/>
          <w:szCs w:val="24"/>
          <w:lang w:val="es-ES_tradnl"/>
        </w:rPr>
        <w:t>Acuerdo Gubernativo Número 540-2013 del del Presidente de la República de Guatemala</w:t>
      </w:r>
      <w:bookmarkEnd w:id="2"/>
      <w:r w:rsidRPr="00813F4D">
        <w:rPr>
          <w:rFonts w:ascii="Helvetica" w:hAnsi="Helvetica" w:cs="Times New Roman"/>
          <w:sz w:val="24"/>
          <w:szCs w:val="24"/>
          <w:lang w:val="es-ES_tradnl"/>
        </w:rPr>
        <w:t>.</w:t>
      </w:r>
    </w:p>
    <w:p w14:paraId="528E8726" w14:textId="77777777" w:rsidR="004B328A" w:rsidRPr="00813F4D" w:rsidRDefault="004B328A" w:rsidP="00BC26EC">
      <w:pPr>
        <w:pStyle w:val="Prrafodelista"/>
        <w:numPr>
          <w:ilvl w:val="0"/>
          <w:numId w:val="2"/>
        </w:numPr>
        <w:tabs>
          <w:tab w:val="left" w:pos="2410"/>
        </w:tabs>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Reglamento de la Ley de Contrataciones del Estado, Acuerdo Gubernativo Número 122-2016 del Presidente de la República de Guatemala.</w:t>
      </w:r>
    </w:p>
    <w:p w14:paraId="73374EDF" w14:textId="0EB1B862" w:rsidR="00006E54" w:rsidRPr="00813F4D" w:rsidRDefault="004B328A" w:rsidP="00BC26EC">
      <w:pPr>
        <w:pStyle w:val="Prrafodelista"/>
        <w:numPr>
          <w:ilvl w:val="0"/>
          <w:numId w:val="2"/>
        </w:numPr>
        <w:tabs>
          <w:tab w:val="left" w:pos="2410"/>
        </w:tabs>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 xml:space="preserve">Reglamento de la Ley de Probidad y Responsabilidad de Funcionarios y Empleados Públicos, Acuerdo Gubernativo Número 613-2005 del Presidente de la Republica. </w:t>
      </w:r>
    </w:p>
    <w:p w14:paraId="0BF675DB" w14:textId="77777777" w:rsidR="004B328A" w:rsidRPr="00813F4D" w:rsidRDefault="004B328A" w:rsidP="00BC26EC">
      <w:pPr>
        <w:pStyle w:val="Prrafodelista"/>
        <w:tabs>
          <w:tab w:val="left" w:pos="2410"/>
        </w:tabs>
        <w:spacing w:after="0" w:line="276" w:lineRule="auto"/>
        <w:jc w:val="both"/>
        <w:rPr>
          <w:rFonts w:ascii="Times New Roman" w:eastAsia="Times New Roman" w:hAnsi="Times New Roman" w:cs="Times New Roman"/>
          <w:lang w:val="es-ES_tradnl"/>
        </w:rPr>
      </w:pPr>
    </w:p>
    <w:p w14:paraId="5F8DA197" w14:textId="60BDEAAD" w:rsidR="00006E54" w:rsidRPr="00813F4D" w:rsidRDefault="00006E54" w:rsidP="00BC26EC">
      <w:pPr>
        <w:spacing w:after="0" w:line="276" w:lineRule="auto"/>
        <w:contextualSpacing/>
        <w:rPr>
          <w:rFonts w:ascii="Helvetica" w:hAnsi="Helvetica" w:cs="Times New Roman"/>
          <w:b/>
          <w:bCs/>
          <w:sz w:val="24"/>
          <w:szCs w:val="24"/>
          <w:lang w:val="es-ES_tradnl"/>
        </w:rPr>
      </w:pPr>
      <w:r w:rsidRPr="00813F4D">
        <w:rPr>
          <w:rFonts w:ascii="Helvetica" w:hAnsi="Helvetica" w:cs="Times New Roman"/>
          <w:b/>
          <w:bCs/>
          <w:sz w:val="24"/>
          <w:szCs w:val="24"/>
          <w:lang w:val="es-ES_tradnl"/>
        </w:rPr>
        <w:t>Convenios internacionales</w:t>
      </w:r>
    </w:p>
    <w:p w14:paraId="71DAE674" w14:textId="77777777" w:rsidR="00006E54" w:rsidRPr="00813F4D" w:rsidRDefault="00006E54" w:rsidP="00BC26EC">
      <w:pPr>
        <w:spacing w:after="0" w:line="276" w:lineRule="auto"/>
        <w:contextualSpacing/>
        <w:rPr>
          <w:rFonts w:ascii="Helvetica" w:hAnsi="Helvetica" w:cs="Times New Roman"/>
          <w:sz w:val="24"/>
          <w:szCs w:val="24"/>
          <w:lang w:val="es-ES_tradnl"/>
        </w:rPr>
      </w:pPr>
    </w:p>
    <w:p w14:paraId="089C4C98" w14:textId="7105231E" w:rsidR="004B328A" w:rsidRPr="00813F4D" w:rsidRDefault="004B328A" w:rsidP="00567789">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Convención Interamericana contra la Corrupción</w:t>
      </w:r>
      <w:r w:rsidR="00BC26EC" w:rsidRPr="00813F4D">
        <w:rPr>
          <w:rFonts w:ascii="Helvetica" w:hAnsi="Helvetica" w:cs="Times New Roman"/>
          <w:sz w:val="24"/>
          <w:szCs w:val="24"/>
          <w:lang w:val="es-ES_tradnl"/>
        </w:rPr>
        <w:t>. Aprobada mediante el Decreto Número 15-2001 del Congreso de la República y ratificada por parte del Presidente de la República el 12 de junio de 2001.</w:t>
      </w:r>
    </w:p>
    <w:p w14:paraId="75579AE9" w14:textId="4806C87A" w:rsidR="003B3D51" w:rsidRPr="002A7CDA" w:rsidRDefault="003231EA" w:rsidP="002A7CDA">
      <w:pPr>
        <w:pStyle w:val="Prrafodelista"/>
        <w:numPr>
          <w:ilvl w:val="0"/>
          <w:numId w:val="2"/>
        </w:num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Convención de las Naciones Unidas contra la Corrupción</w:t>
      </w:r>
      <w:r w:rsidR="00BC26EC" w:rsidRPr="00813F4D">
        <w:rPr>
          <w:rFonts w:ascii="Helvetica" w:hAnsi="Helvetica" w:cs="Times New Roman"/>
          <w:sz w:val="24"/>
          <w:szCs w:val="24"/>
          <w:lang w:val="es-ES_tradnl"/>
        </w:rPr>
        <w:t>. Aprobada mediante el Decreto Número 91-2005 del Congreso de la República</w:t>
      </w:r>
      <w:r w:rsidR="00B931F0" w:rsidRPr="00813F4D">
        <w:rPr>
          <w:rFonts w:ascii="Helvetica" w:hAnsi="Helvetica" w:cs="Times New Roman"/>
          <w:sz w:val="24"/>
          <w:szCs w:val="24"/>
          <w:lang w:val="es-ES_tradnl"/>
        </w:rPr>
        <w:t xml:space="preserve"> y ratificada por parte del </w:t>
      </w:r>
      <w:proofErr w:type="gramStart"/>
      <w:r w:rsidR="00B931F0" w:rsidRPr="00813F4D">
        <w:rPr>
          <w:rFonts w:ascii="Helvetica" w:hAnsi="Helvetica" w:cs="Times New Roman"/>
          <w:sz w:val="24"/>
          <w:szCs w:val="24"/>
          <w:lang w:val="es-ES_tradnl"/>
        </w:rPr>
        <w:t>Presidente</w:t>
      </w:r>
      <w:proofErr w:type="gramEnd"/>
      <w:r w:rsidR="00B931F0" w:rsidRPr="00813F4D">
        <w:rPr>
          <w:rFonts w:ascii="Helvetica" w:hAnsi="Helvetica" w:cs="Times New Roman"/>
          <w:sz w:val="24"/>
          <w:szCs w:val="24"/>
          <w:lang w:val="es-ES_tradnl"/>
        </w:rPr>
        <w:t xml:space="preserve"> de la República</w:t>
      </w:r>
      <w:r w:rsidR="00567789" w:rsidRPr="00813F4D">
        <w:rPr>
          <w:rFonts w:ascii="Helvetica" w:hAnsi="Helvetica" w:cs="Times New Roman"/>
          <w:sz w:val="24"/>
          <w:szCs w:val="24"/>
          <w:lang w:val="es-ES_tradnl"/>
        </w:rPr>
        <w:t xml:space="preserve"> el 4 de enero de 2006.</w:t>
      </w:r>
    </w:p>
    <w:p w14:paraId="1067FF04" w14:textId="77777777" w:rsidR="003B3D51" w:rsidRPr="00813F4D" w:rsidRDefault="003B3D51" w:rsidP="002A7CDA">
      <w:pPr>
        <w:spacing w:after="0" w:line="276" w:lineRule="auto"/>
        <w:rPr>
          <w:rFonts w:ascii="Helvetica" w:hAnsi="Helvetica" w:cs="Times New Roman"/>
          <w:b/>
          <w:bCs/>
          <w:sz w:val="24"/>
          <w:szCs w:val="24"/>
          <w:lang w:val="es-ES_tradnl"/>
        </w:rPr>
      </w:pPr>
    </w:p>
    <w:p w14:paraId="0B0B0EC4" w14:textId="6AB509E8" w:rsidR="003B3D51" w:rsidRPr="00813F4D" w:rsidRDefault="003B3D51" w:rsidP="00813F4D">
      <w:pPr>
        <w:spacing w:after="0" w:line="276" w:lineRule="auto"/>
        <w:ind w:left="360"/>
        <w:jc w:val="center"/>
        <w:rPr>
          <w:rFonts w:ascii="Helvetica" w:hAnsi="Helvetica" w:cs="Times New Roman"/>
          <w:b/>
          <w:bCs/>
          <w:sz w:val="24"/>
          <w:szCs w:val="24"/>
          <w:lang w:val="es-ES_tradnl"/>
        </w:rPr>
      </w:pPr>
      <w:r w:rsidRPr="00813F4D">
        <w:rPr>
          <w:rFonts w:ascii="Helvetica" w:hAnsi="Helvetica" w:cs="Times New Roman"/>
          <w:b/>
          <w:bCs/>
          <w:sz w:val="24"/>
          <w:szCs w:val="24"/>
          <w:lang w:val="es-ES_tradnl"/>
        </w:rPr>
        <w:t>Políticas públicas relacionadas</w:t>
      </w:r>
    </w:p>
    <w:p w14:paraId="5A8C02D0" w14:textId="77777777" w:rsidR="003B3D51" w:rsidRPr="00813F4D" w:rsidRDefault="003B3D51" w:rsidP="003B3D51">
      <w:pPr>
        <w:pStyle w:val="NormalWeb"/>
        <w:rPr>
          <w:rFonts w:ascii="Helvetica" w:hAnsi="Helvetica"/>
          <w:lang w:val="es-ES_tradnl"/>
        </w:rPr>
      </w:pPr>
      <w:r w:rsidRPr="00813F4D">
        <w:rPr>
          <w:rFonts w:ascii="Helvetica" w:hAnsi="Helvetica" w:cs="Arial"/>
          <w:b/>
          <w:bCs/>
          <w:lang w:val="es-ES_tradnl"/>
        </w:rPr>
        <w:t xml:space="preserve">Plan Nacional de Desarrollo Katu’n Nuestra Guatemala 2032: </w:t>
      </w:r>
    </w:p>
    <w:p w14:paraId="48EB2AC7" w14:textId="77777777" w:rsidR="00332730" w:rsidRPr="00813F4D" w:rsidRDefault="003B3D51" w:rsidP="003B3D51">
      <w:pPr>
        <w:pStyle w:val="NormalWeb"/>
        <w:jc w:val="both"/>
        <w:rPr>
          <w:rFonts w:ascii="Helvetica" w:hAnsi="Helvetica"/>
          <w:lang w:val="es-ES_tradnl"/>
        </w:rPr>
      </w:pPr>
      <w:r w:rsidRPr="00813F4D">
        <w:rPr>
          <w:rFonts w:ascii="Helvetica" w:hAnsi="Helvetica"/>
          <w:lang w:val="es-ES_tradnl"/>
        </w:rPr>
        <w:t xml:space="preserve">En el Eje de Riqueza para todos, en la </w:t>
      </w:r>
      <w:r w:rsidRPr="00813F4D">
        <w:rPr>
          <w:rFonts w:ascii="Helvetica" w:hAnsi="Helvetica"/>
          <w:i/>
          <w:iCs/>
          <w:lang w:val="es-ES_tradnl"/>
        </w:rPr>
        <w:t>Prioridad</w:t>
      </w:r>
      <w:r w:rsidR="00332730" w:rsidRPr="00813F4D">
        <w:rPr>
          <w:rFonts w:ascii="Helvetica" w:hAnsi="Helvetica"/>
          <w:i/>
          <w:iCs/>
          <w:lang w:val="es-ES_tradnl"/>
        </w:rPr>
        <w:t xml:space="preserve"> </w:t>
      </w:r>
      <w:r w:rsidRPr="00813F4D">
        <w:rPr>
          <w:rFonts w:ascii="Helvetica" w:hAnsi="Helvetica"/>
          <w:i/>
          <w:iCs/>
          <w:lang w:val="es-ES_tradnl"/>
        </w:rPr>
        <w:t>Papel más activo del Estado en la consecución del crecimiento y la inclusión social</w:t>
      </w:r>
      <w:r w:rsidRPr="00813F4D">
        <w:rPr>
          <w:rFonts w:ascii="Helvetica" w:hAnsi="Helvetica"/>
          <w:lang w:val="es-ES_tradnl"/>
        </w:rPr>
        <w:t xml:space="preserve">, </w:t>
      </w:r>
      <w:r w:rsidR="00332730" w:rsidRPr="00813F4D">
        <w:rPr>
          <w:rFonts w:ascii="Helvetica" w:hAnsi="Helvetica"/>
          <w:lang w:val="es-ES_tradnl"/>
        </w:rPr>
        <w:t>lo siguiente</w:t>
      </w:r>
      <w:r w:rsidRPr="00813F4D">
        <w:rPr>
          <w:rFonts w:ascii="Helvetica" w:hAnsi="Helvetica"/>
          <w:lang w:val="es-ES_tradnl"/>
        </w:rPr>
        <w:t xml:space="preserve">: </w:t>
      </w:r>
      <w:r w:rsidR="00332730" w:rsidRPr="00813F4D">
        <w:rPr>
          <w:rFonts w:ascii="Helvetica" w:hAnsi="Helvetica"/>
          <w:lang w:val="es-ES_tradnl"/>
        </w:rPr>
        <w:t>“(</w:t>
      </w:r>
      <w:r w:rsidRPr="00813F4D">
        <w:rPr>
          <w:rFonts w:ascii="Helvetica" w:hAnsi="Helvetica"/>
          <w:lang w:val="es-ES_tradnl"/>
        </w:rPr>
        <w:t>...</w:t>
      </w:r>
      <w:r w:rsidR="00332730" w:rsidRPr="00813F4D">
        <w:rPr>
          <w:rFonts w:ascii="Helvetica" w:hAnsi="Helvetica"/>
          <w:lang w:val="es-ES_tradnl"/>
        </w:rPr>
        <w:t xml:space="preserve">) </w:t>
      </w:r>
      <w:r w:rsidRPr="00813F4D">
        <w:rPr>
          <w:rFonts w:ascii="Helvetica" w:hAnsi="Helvetica"/>
          <w:i/>
          <w:iCs/>
          <w:lang w:val="es-ES_tradnl"/>
        </w:rPr>
        <w:t>El papel más fuerte del Estado debe ir acompañado por una mayor rendición de cuentas, lo que implica abolir todo tipo de prácticas que la menoscaben, como el clientelismo, el nepotismo, la corrupción, así́ como la toma del poder político y económico por parte de ciertas élites</w:t>
      </w:r>
      <w:r w:rsidRPr="00813F4D">
        <w:rPr>
          <w:rFonts w:ascii="Helvetica" w:hAnsi="Helvetica"/>
          <w:lang w:val="es-ES_tradnl"/>
        </w:rPr>
        <w:t xml:space="preserve">. </w:t>
      </w:r>
    </w:p>
    <w:p w14:paraId="25850CFE" w14:textId="77777777" w:rsidR="002A7CDA" w:rsidRDefault="002A7CDA" w:rsidP="003B3D51">
      <w:pPr>
        <w:pStyle w:val="NormalWeb"/>
        <w:jc w:val="both"/>
        <w:rPr>
          <w:rFonts w:ascii="Helvetica" w:hAnsi="Helvetica"/>
          <w:lang w:val="es-ES_tradnl"/>
        </w:rPr>
      </w:pPr>
    </w:p>
    <w:p w14:paraId="73A4C332" w14:textId="77777777" w:rsidR="002A7CDA" w:rsidRDefault="002A7CDA" w:rsidP="003B3D51">
      <w:pPr>
        <w:pStyle w:val="NormalWeb"/>
        <w:jc w:val="both"/>
        <w:rPr>
          <w:rFonts w:ascii="Helvetica" w:hAnsi="Helvetica"/>
          <w:lang w:val="es-ES_tradnl"/>
        </w:rPr>
      </w:pPr>
    </w:p>
    <w:p w14:paraId="4854CA7E" w14:textId="0B6D1AAB" w:rsidR="003B3D51" w:rsidRPr="00813F4D" w:rsidRDefault="00332730" w:rsidP="003B3D51">
      <w:pPr>
        <w:pStyle w:val="NormalWeb"/>
        <w:jc w:val="both"/>
        <w:rPr>
          <w:rFonts w:ascii="Helvetica" w:hAnsi="Helvetica"/>
          <w:lang w:val="es-ES_tradnl"/>
        </w:rPr>
      </w:pPr>
      <w:bookmarkStart w:id="3" w:name="_GoBack"/>
      <w:bookmarkEnd w:id="3"/>
      <w:r w:rsidRPr="00813F4D">
        <w:rPr>
          <w:rFonts w:ascii="Helvetica" w:hAnsi="Helvetica"/>
          <w:lang w:val="es-ES_tradnl"/>
        </w:rPr>
        <w:t>Entre los</w:t>
      </w:r>
      <w:r w:rsidR="003B3D51" w:rsidRPr="00813F4D">
        <w:rPr>
          <w:rFonts w:ascii="Helvetica" w:hAnsi="Helvetica"/>
          <w:lang w:val="es-ES_tradnl"/>
        </w:rPr>
        <w:t xml:space="preserve"> lineamientos</w:t>
      </w:r>
      <w:r w:rsidRPr="00813F4D">
        <w:rPr>
          <w:rFonts w:ascii="Helvetica" w:hAnsi="Helvetica"/>
          <w:lang w:val="es-ES_tradnl"/>
        </w:rPr>
        <w:t xml:space="preserve"> de diferentes prioridades del </w:t>
      </w:r>
      <w:r w:rsidRPr="00813F4D">
        <w:rPr>
          <w:rFonts w:ascii="Helvetica" w:hAnsi="Helvetica" w:cs="Arial"/>
          <w:lang w:val="es-ES_tradnl"/>
        </w:rPr>
        <w:t xml:space="preserve">Plan Nacional de Desarrollo </w:t>
      </w:r>
      <w:r w:rsidRPr="00813F4D">
        <w:rPr>
          <w:rFonts w:ascii="Helvetica" w:hAnsi="Helvetica"/>
          <w:lang w:val="es-ES_tradnl"/>
        </w:rPr>
        <w:t xml:space="preserve">Katu’n Nuestra Guatemala 2032 se contemplan la </w:t>
      </w:r>
      <w:r w:rsidRPr="00813F4D">
        <w:rPr>
          <w:rFonts w:ascii="Helvetica" w:hAnsi="Helvetica"/>
          <w:i/>
          <w:iCs/>
          <w:lang w:val="es-ES_tradnl"/>
        </w:rPr>
        <w:t>reducción de la corrupción</w:t>
      </w:r>
      <w:r w:rsidRPr="00813F4D">
        <w:rPr>
          <w:rFonts w:ascii="Helvetica" w:hAnsi="Helvetica"/>
          <w:lang w:val="es-ES_tradnl"/>
        </w:rPr>
        <w:t xml:space="preserve"> y la </w:t>
      </w:r>
      <w:r w:rsidRPr="00813F4D">
        <w:rPr>
          <w:rFonts w:ascii="Helvetica" w:hAnsi="Helvetica"/>
          <w:i/>
          <w:iCs/>
          <w:lang w:val="es-ES_tradnl"/>
        </w:rPr>
        <w:t>lucha frontal contra la corrupción</w:t>
      </w:r>
      <w:r w:rsidRPr="00813F4D">
        <w:rPr>
          <w:rFonts w:ascii="Helvetica" w:hAnsi="Helvetica"/>
          <w:lang w:val="es-ES_tradnl"/>
        </w:rPr>
        <w:t>.</w:t>
      </w:r>
    </w:p>
    <w:p w14:paraId="3A8207A4" w14:textId="599D2F13" w:rsidR="00332730" w:rsidRPr="00813F4D" w:rsidRDefault="00813F4D" w:rsidP="00332730">
      <w:pPr>
        <w:spacing w:after="0" w:line="276" w:lineRule="auto"/>
        <w:rPr>
          <w:rFonts w:ascii="Helvetica" w:hAnsi="Helvetica" w:cs="Times New Roman"/>
          <w:b/>
          <w:bCs/>
          <w:sz w:val="24"/>
          <w:szCs w:val="24"/>
          <w:lang w:val="es-ES_tradnl"/>
        </w:rPr>
      </w:pPr>
      <w:r w:rsidRPr="00813F4D">
        <w:rPr>
          <w:rFonts w:ascii="Helvetica" w:hAnsi="Helvetica" w:cs="Times New Roman"/>
          <w:b/>
          <w:bCs/>
          <w:sz w:val="24"/>
          <w:szCs w:val="24"/>
          <w:lang w:val="es-ES_tradnl"/>
        </w:rPr>
        <w:t>Política General de Gobierno 2024-2028</w:t>
      </w:r>
    </w:p>
    <w:p w14:paraId="41794CC0" w14:textId="77777777" w:rsidR="00813F4D" w:rsidRPr="00813F4D" w:rsidRDefault="00813F4D" w:rsidP="00332730">
      <w:pPr>
        <w:spacing w:after="0" w:line="276" w:lineRule="auto"/>
        <w:rPr>
          <w:rFonts w:ascii="Helvetica" w:hAnsi="Helvetica" w:cs="Times New Roman"/>
          <w:b/>
          <w:bCs/>
          <w:sz w:val="24"/>
          <w:szCs w:val="24"/>
          <w:lang w:val="es-ES_tradnl"/>
        </w:rPr>
      </w:pPr>
    </w:p>
    <w:p w14:paraId="0173CFCB" w14:textId="42D2A380" w:rsidR="00813F4D" w:rsidRPr="00813F4D" w:rsidRDefault="00813F4D" w:rsidP="00813F4D">
      <w:pPr>
        <w:spacing w:after="0" w:line="276" w:lineRule="auto"/>
        <w:jc w:val="both"/>
        <w:rPr>
          <w:rFonts w:ascii="Helvetica" w:hAnsi="Helvetica" w:cs="Times New Roman"/>
          <w:sz w:val="24"/>
          <w:szCs w:val="24"/>
          <w:lang w:val="es-ES_tradnl"/>
        </w:rPr>
      </w:pPr>
      <w:r w:rsidRPr="00813F4D">
        <w:rPr>
          <w:rFonts w:ascii="Helvetica" w:hAnsi="Helvetica" w:cs="Times New Roman"/>
          <w:sz w:val="24"/>
          <w:szCs w:val="24"/>
          <w:lang w:val="es-ES_tradnl"/>
        </w:rPr>
        <w:t xml:space="preserve">En el eje </w:t>
      </w:r>
      <w:r w:rsidRPr="00813F4D">
        <w:rPr>
          <w:rFonts w:ascii="Helvetica" w:hAnsi="Helvetica" w:cs="Times New Roman"/>
          <w:i/>
          <w:iCs/>
          <w:sz w:val="24"/>
          <w:szCs w:val="24"/>
          <w:lang w:val="es-ES_tradnl"/>
        </w:rPr>
        <w:t>Hacia una Función Pública Legítima y Eficaz</w:t>
      </w:r>
      <w:r w:rsidRPr="00813F4D">
        <w:rPr>
          <w:rFonts w:ascii="Helvetica" w:hAnsi="Helvetica" w:cs="Times New Roman"/>
          <w:sz w:val="24"/>
          <w:szCs w:val="24"/>
          <w:lang w:val="es-ES_tradnl"/>
        </w:rPr>
        <w:t xml:space="preserve"> se contemplan las siguientes líneas estratégicas:</w:t>
      </w:r>
    </w:p>
    <w:p w14:paraId="772B0E95" w14:textId="77777777" w:rsidR="00813F4D" w:rsidRPr="00813F4D" w:rsidRDefault="00813F4D" w:rsidP="00813F4D">
      <w:pPr>
        <w:spacing w:after="0" w:line="276" w:lineRule="auto"/>
        <w:jc w:val="both"/>
        <w:rPr>
          <w:rFonts w:ascii="Helvetica" w:hAnsi="Helvetica" w:cs="Times New Roman"/>
          <w:sz w:val="24"/>
          <w:szCs w:val="24"/>
          <w:lang w:val="es-ES_tradnl"/>
        </w:rPr>
      </w:pPr>
    </w:p>
    <w:p w14:paraId="76FEDACA" w14:textId="0A4D5DE2" w:rsidR="00813F4D" w:rsidRPr="00813F4D" w:rsidRDefault="00813F4D" w:rsidP="00813F4D">
      <w:pPr>
        <w:spacing w:after="0" w:line="276" w:lineRule="auto"/>
        <w:ind w:left="708"/>
        <w:jc w:val="both"/>
        <w:rPr>
          <w:rFonts w:ascii="Helvetica" w:hAnsi="Helvetica" w:cs="Times New Roman"/>
          <w:i/>
          <w:iCs/>
          <w:sz w:val="24"/>
          <w:szCs w:val="24"/>
          <w:lang w:val="es-ES_tradnl"/>
        </w:rPr>
      </w:pPr>
      <w:r w:rsidRPr="00813F4D">
        <w:rPr>
          <w:rFonts w:ascii="Helvetica" w:hAnsi="Helvetica" w:cs="Times New Roman"/>
          <w:i/>
          <w:iCs/>
          <w:sz w:val="24"/>
          <w:szCs w:val="24"/>
          <w:lang w:val="es-ES_tradnl"/>
        </w:rPr>
        <w:t>“Establecimiento de mecanismos para impulsar un sistema nacional anticorrupción, fortaleciendo la institucionalidad, la coordinación interinstitucional, el servicio civil y el gobierno electrónico funcional”.</w:t>
      </w:r>
    </w:p>
    <w:p w14:paraId="2A1C7C75" w14:textId="77777777" w:rsidR="00813F4D" w:rsidRPr="00813F4D" w:rsidRDefault="00813F4D" w:rsidP="00813F4D">
      <w:pPr>
        <w:spacing w:after="0" w:line="276" w:lineRule="auto"/>
        <w:ind w:left="708"/>
        <w:jc w:val="both"/>
        <w:rPr>
          <w:rFonts w:ascii="Helvetica" w:hAnsi="Helvetica" w:cs="Times New Roman"/>
          <w:i/>
          <w:iCs/>
          <w:sz w:val="24"/>
          <w:szCs w:val="24"/>
          <w:lang w:val="es-ES_tradnl"/>
        </w:rPr>
      </w:pPr>
    </w:p>
    <w:p w14:paraId="502F21C9" w14:textId="284100C7" w:rsidR="00813F4D" w:rsidRPr="00813F4D" w:rsidRDefault="00813F4D" w:rsidP="00813F4D">
      <w:pPr>
        <w:spacing w:after="0" w:line="276" w:lineRule="auto"/>
        <w:ind w:left="708"/>
        <w:jc w:val="both"/>
        <w:rPr>
          <w:rFonts w:ascii="Helvetica" w:hAnsi="Helvetica" w:cs="Times New Roman"/>
          <w:sz w:val="24"/>
          <w:szCs w:val="24"/>
          <w:lang w:val="es-ES_tradnl"/>
        </w:rPr>
      </w:pPr>
      <w:r w:rsidRPr="00813F4D">
        <w:rPr>
          <w:rFonts w:ascii="Helvetica" w:hAnsi="Helvetica" w:cs="Times New Roman"/>
          <w:i/>
          <w:iCs/>
          <w:sz w:val="24"/>
          <w:szCs w:val="24"/>
          <w:lang w:val="es-ES_tradnl"/>
        </w:rPr>
        <w:t>“Promover medidas contundentes, inmediatas y efectivas en contra de la corrupción y malas prácticas en la administración pública, implementando mecanismos institucionales desde la prevención, el fortalecimiento de la función pública, la ética en los servidores y funcionarios públicos y la responsabilidad social en todos los ámbitos”.</w:t>
      </w:r>
    </w:p>
    <w:p w14:paraId="793C0A07" w14:textId="77777777" w:rsidR="00813F4D" w:rsidRPr="00813F4D" w:rsidRDefault="00813F4D" w:rsidP="00813F4D">
      <w:pPr>
        <w:spacing w:after="0" w:line="276" w:lineRule="auto"/>
        <w:jc w:val="both"/>
        <w:rPr>
          <w:rFonts w:ascii="Helvetica" w:hAnsi="Helvetica" w:cs="Times New Roman"/>
          <w:sz w:val="24"/>
          <w:szCs w:val="24"/>
          <w:lang w:val="es-ES_tradnl"/>
        </w:rPr>
      </w:pPr>
    </w:p>
    <w:sectPr w:rsidR="00813F4D" w:rsidRPr="00813F4D" w:rsidSect="0056322E">
      <w:headerReference w:type="default" r:id="rId7"/>
      <w:pgSz w:w="12240" w:h="15840" w:code="1"/>
      <w:pgMar w:top="2410" w:right="1701" w:bottom="709" w:left="1701" w:header="709"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5C6B" w14:textId="77777777" w:rsidR="00D116A0" w:rsidRDefault="00D116A0" w:rsidP="00675715">
      <w:pPr>
        <w:spacing w:after="0" w:line="240" w:lineRule="auto"/>
      </w:pPr>
      <w:r>
        <w:separator/>
      </w:r>
    </w:p>
  </w:endnote>
  <w:endnote w:type="continuationSeparator" w:id="0">
    <w:p w14:paraId="45500408" w14:textId="77777777" w:rsidR="00D116A0" w:rsidRDefault="00D116A0" w:rsidP="0067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EC20" w14:textId="77777777" w:rsidR="00D116A0" w:rsidRDefault="00D116A0" w:rsidP="00675715">
      <w:pPr>
        <w:spacing w:after="0" w:line="240" w:lineRule="auto"/>
      </w:pPr>
      <w:r>
        <w:separator/>
      </w:r>
    </w:p>
  </w:footnote>
  <w:footnote w:type="continuationSeparator" w:id="0">
    <w:p w14:paraId="5D7F4A62" w14:textId="77777777" w:rsidR="00D116A0" w:rsidRDefault="00D116A0" w:rsidP="0067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4A9" w14:textId="084AEF54" w:rsidR="00675715" w:rsidRDefault="00A325A3">
    <w:pPr>
      <w:pStyle w:val="Encabezado"/>
    </w:pPr>
    <w:r>
      <w:rPr>
        <w:noProof/>
        <w:lang w:eastAsia="es-GT"/>
      </w:rPr>
      <w:drawing>
        <wp:anchor distT="0" distB="0" distL="114300" distR="114300" simplePos="0" relativeHeight="251658240" behindDoc="1" locked="0" layoutInCell="1" allowOverlap="1" wp14:anchorId="3DCC0CCF" wp14:editId="21CBE9E1">
          <wp:simplePos x="0" y="0"/>
          <wp:positionH relativeFrom="column">
            <wp:posOffset>-1067435</wp:posOffset>
          </wp:positionH>
          <wp:positionV relativeFrom="paragraph">
            <wp:posOffset>-437515</wp:posOffset>
          </wp:positionV>
          <wp:extent cx="7756777" cy="10038182"/>
          <wp:effectExtent l="0" t="0" r="317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6777" cy="100381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E5600"/>
    <w:multiLevelType w:val="hybridMultilevel"/>
    <w:tmpl w:val="409E39FA"/>
    <w:lvl w:ilvl="0" w:tplc="9BB4E7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46657"/>
    <w:multiLevelType w:val="hybridMultilevel"/>
    <w:tmpl w:val="25CEBE76"/>
    <w:lvl w:ilvl="0" w:tplc="EA2ADEA6">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34C55"/>
    <w:multiLevelType w:val="hybridMultilevel"/>
    <w:tmpl w:val="67BC06E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15"/>
    <w:rsid w:val="00006E54"/>
    <w:rsid w:val="00031060"/>
    <w:rsid w:val="000476DF"/>
    <w:rsid w:val="00050275"/>
    <w:rsid w:val="0005132B"/>
    <w:rsid w:val="00051F16"/>
    <w:rsid w:val="00055BDD"/>
    <w:rsid w:val="0006711E"/>
    <w:rsid w:val="00070DEB"/>
    <w:rsid w:val="000D269D"/>
    <w:rsid w:val="000D5699"/>
    <w:rsid w:val="000D57A5"/>
    <w:rsid w:val="000F475D"/>
    <w:rsid w:val="00110A9B"/>
    <w:rsid w:val="001308D7"/>
    <w:rsid w:val="00150111"/>
    <w:rsid w:val="0017566F"/>
    <w:rsid w:val="00183632"/>
    <w:rsid w:val="00186F9B"/>
    <w:rsid w:val="001961E5"/>
    <w:rsid w:val="001C4941"/>
    <w:rsid w:val="001D2264"/>
    <w:rsid w:val="00200DB6"/>
    <w:rsid w:val="00257386"/>
    <w:rsid w:val="00292C81"/>
    <w:rsid w:val="002A7CDA"/>
    <w:rsid w:val="002E50E1"/>
    <w:rsid w:val="002E7B7F"/>
    <w:rsid w:val="00314860"/>
    <w:rsid w:val="00316341"/>
    <w:rsid w:val="003231EA"/>
    <w:rsid w:val="0033184B"/>
    <w:rsid w:val="003320AD"/>
    <w:rsid w:val="00332730"/>
    <w:rsid w:val="00356126"/>
    <w:rsid w:val="003570EA"/>
    <w:rsid w:val="00360697"/>
    <w:rsid w:val="0036318F"/>
    <w:rsid w:val="00374E42"/>
    <w:rsid w:val="00397E28"/>
    <w:rsid w:val="003B3D51"/>
    <w:rsid w:val="003F2EBF"/>
    <w:rsid w:val="0041677F"/>
    <w:rsid w:val="0042010C"/>
    <w:rsid w:val="004220D3"/>
    <w:rsid w:val="0043019F"/>
    <w:rsid w:val="00447A5A"/>
    <w:rsid w:val="00466BAC"/>
    <w:rsid w:val="00484D97"/>
    <w:rsid w:val="00484ED2"/>
    <w:rsid w:val="00484F9A"/>
    <w:rsid w:val="00494473"/>
    <w:rsid w:val="004A25E0"/>
    <w:rsid w:val="004B328A"/>
    <w:rsid w:val="004B49FE"/>
    <w:rsid w:val="004F2608"/>
    <w:rsid w:val="005005C5"/>
    <w:rsid w:val="005030D5"/>
    <w:rsid w:val="005078BC"/>
    <w:rsid w:val="00525C25"/>
    <w:rsid w:val="0052724E"/>
    <w:rsid w:val="005458C0"/>
    <w:rsid w:val="00560D95"/>
    <w:rsid w:val="0056322E"/>
    <w:rsid w:val="00567789"/>
    <w:rsid w:val="005845A0"/>
    <w:rsid w:val="00593919"/>
    <w:rsid w:val="005A12D3"/>
    <w:rsid w:val="005F1435"/>
    <w:rsid w:val="00605C55"/>
    <w:rsid w:val="00610B7C"/>
    <w:rsid w:val="00612EBF"/>
    <w:rsid w:val="006319E5"/>
    <w:rsid w:val="0063598C"/>
    <w:rsid w:val="00650A05"/>
    <w:rsid w:val="00674903"/>
    <w:rsid w:val="00675715"/>
    <w:rsid w:val="00675E17"/>
    <w:rsid w:val="00690813"/>
    <w:rsid w:val="006A2AD8"/>
    <w:rsid w:val="006A3C30"/>
    <w:rsid w:val="006B7C8D"/>
    <w:rsid w:val="006D0805"/>
    <w:rsid w:val="006D5FA0"/>
    <w:rsid w:val="007144D8"/>
    <w:rsid w:val="00714FE7"/>
    <w:rsid w:val="00727EA0"/>
    <w:rsid w:val="0075246E"/>
    <w:rsid w:val="00755A64"/>
    <w:rsid w:val="007604EC"/>
    <w:rsid w:val="007677AC"/>
    <w:rsid w:val="00772DFE"/>
    <w:rsid w:val="00782340"/>
    <w:rsid w:val="00782887"/>
    <w:rsid w:val="00795687"/>
    <w:rsid w:val="007A202D"/>
    <w:rsid w:val="007A3C74"/>
    <w:rsid w:val="007A63C1"/>
    <w:rsid w:val="007C0D8D"/>
    <w:rsid w:val="007C3B2E"/>
    <w:rsid w:val="007D1559"/>
    <w:rsid w:val="007E1A98"/>
    <w:rsid w:val="007F3307"/>
    <w:rsid w:val="00813F4D"/>
    <w:rsid w:val="00825873"/>
    <w:rsid w:val="008443AB"/>
    <w:rsid w:val="008677F4"/>
    <w:rsid w:val="00887896"/>
    <w:rsid w:val="00891360"/>
    <w:rsid w:val="008D76B9"/>
    <w:rsid w:val="008E1B4A"/>
    <w:rsid w:val="00900E7A"/>
    <w:rsid w:val="009209D7"/>
    <w:rsid w:val="00923C3B"/>
    <w:rsid w:val="00926DAC"/>
    <w:rsid w:val="009570BC"/>
    <w:rsid w:val="0097687F"/>
    <w:rsid w:val="009834A4"/>
    <w:rsid w:val="00993689"/>
    <w:rsid w:val="009A39F0"/>
    <w:rsid w:val="009B3B2C"/>
    <w:rsid w:val="009C1824"/>
    <w:rsid w:val="009E1E81"/>
    <w:rsid w:val="009F0D4D"/>
    <w:rsid w:val="009F2639"/>
    <w:rsid w:val="009F2C2D"/>
    <w:rsid w:val="009F5A91"/>
    <w:rsid w:val="00A12BDF"/>
    <w:rsid w:val="00A233E0"/>
    <w:rsid w:val="00A325A3"/>
    <w:rsid w:val="00A32C36"/>
    <w:rsid w:val="00A4325F"/>
    <w:rsid w:val="00A63916"/>
    <w:rsid w:val="00A64AA5"/>
    <w:rsid w:val="00AC277B"/>
    <w:rsid w:val="00AC4FC1"/>
    <w:rsid w:val="00AE7765"/>
    <w:rsid w:val="00AF0A9C"/>
    <w:rsid w:val="00B01EAB"/>
    <w:rsid w:val="00B336EC"/>
    <w:rsid w:val="00B4167A"/>
    <w:rsid w:val="00B6100F"/>
    <w:rsid w:val="00B6114A"/>
    <w:rsid w:val="00B83C72"/>
    <w:rsid w:val="00B931F0"/>
    <w:rsid w:val="00BC26EC"/>
    <w:rsid w:val="00BE1C2F"/>
    <w:rsid w:val="00BE4A43"/>
    <w:rsid w:val="00C13C1B"/>
    <w:rsid w:val="00C2376F"/>
    <w:rsid w:val="00C25A92"/>
    <w:rsid w:val="00C35286"/>
    <w:rsid w:val="00C50B85"/>
    <w:rsid w:val="00C5151F"/>
    <w:rsid w:val="00C9316E"/>
    <w:rsid w:val="00C959EF"/>
    <w:rsid w:val="00CB110C"/>
    <w:rsid w:val="00CC3A22"/>
    <w:rsid w:val="00CE54A9"/>
    <w:rsid w:val="00CF004F"/>
    <w:rsid w:val="00CF7AE4"/>
    <w:rsid w:val="00D116A0"/>
    <w:rsid w:val="00D331B0"/>
    <w:rsid w:val="00D35175"/>
    <w:rsid w:val="00D551B5"/>
    <w:rsid w:val="00D57FD9"/>
    <w:rsid w:val="00D6631F"/>
    <w:rsid w:val="00D749B8"/>
    <w:rsid w:val="00D767ED"/>
    <w:rsid w:val="00DA3E6E"/>
    <w:rsid w:val="00DA7DE9"/>
    <w:rsid w:val="00DC0068"/>
    <w:rsid w:val="00DC48B5"/>
    <w:rsid w:val="00DE3EF7"/>
    <w:rsid w:val="00DE5E82"/>
    <w:rsid w:val="00DF56A4"/>
    <w:rsid w:val="00E22F50"/>
    <w:rsid w:val="00E32135"/>
    <w:rsid w:val="00E40633"/>
    <w:rsid w:val="00E540CC"/>
    <w:rsid w:val="00E604FF"/>
    <w:rsid w:val="00E666CB"/>
    <w:rsid w:val="00E71700"/>
    <w:rsid w:val="00E72596"/>
    <w:rsid w:val="00E82B87"/>
    <w:rsid w:val="00E91AFA"/>
    <w:rsid w:val="00EA4FAF"/>
    <w:rsid w:val="00ED114E"/>
    <w:rsid w:val="00ED22E7"/>
    <w:rsid w:val="00ED4446"/>
    <w:rsid w:val="00ED68BD"/>
    <w:rsid w:val="00EF3738"/>
    <w:rsid w:val="00F07DDD"/>
    <w:rsid w:val="00F86041"/>
    <w:rsid w:val="00F87705"/>
    <w:rsid w:val="00F920E5"/>
    <w:rsid w:val="00F93329"/>
    <w:rsid w:val="00FA3225"/>
    <w:rsid w:val="00FA51A6"/>
    <w:rsid w:val="00FC1FC1"/>
    <w:rsid w:val="00FF5BD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AE2E"/>
  <w15:chartTrackingRefBased/>
  <w15:docId w15:val="{F6CCBAF0-F3E9-42E4-B936-749848BD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7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715"/>
  </w:style>
  <w:style w:type="paragraph" w:styleId="Piedepgina">
    <w:name w:val="footer"/>
    <w:basedOn w:val="Normal"/>
    <w:link w:val="PiedepginaCar"/>
    <w:uiPriority w:val="99"/>
    <w:unhideWhenUsed/>
    <w:rsid w:val="006757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715"/>
  </w:style>
  <w:style w:type="paragraph" w:styleId="Sinespaciado">
    <w:name w:val="No Spacing"/>
    <w:link w:val="SinespaciadoCar"/>
    <w:uiPriority w:val="1"/>
    <w:qFormat/>
    <w:rsid w:val="00D35175"/>
    <w:pPr>
      <w:spacing w:after="0" w:line="240" w:lineRule="auto"/>
    </w:pPr>
  </w:style>
  <w:style w:type="character" w:customStyle="1" w:styleId="SinespaciadoCar">
    <w:name w:val="Sin espaciado Car"/>
    <w:link w:val="Sinespaciado"/>
    <w:uiPriority w:val="1"/>
    <w:rsid w:val="00D35175"/>
  </w:style>
  <w:style w:type="paragraph" w:styleId="Prrafodelista">
    <w:name w:val="List Paragraph"/>
    <w:basedOn w:val="Normal"/>
    <w:link w:val="PrrafodelistaCar"/>
    <w:uiPriority w:val="34"/>
    <w:qFormat/>
    <w:rsid w:val="00727EA0"/>
    <w:pPr>
      <w:ind w:left="720"/>
      <w:contextualSpacing/>
    </w:pPr>
  </w:style>
  <w:style w:type="paragraph" w:styleId="Textodeglobo">
    <w:name w:val="Balloon Text"/>
    <w:basedOn w:val="Normal"/>
    <w:link w:val="TextodegloboCar"/>
    <w:uiPriority w:val="99"/>
    <w:semiHidden/>
    <w:unhideWhenUsed/>
    <w:rsid w:val="007677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7AC"/>
    <w:rPr>
      <w:rFonts w:ascii="Segoe UI" w:hAnsi="Segoe UI" w:cs="Segoe UI"/>
      <w:sz w:val="18"/>
      <w:szCs w:val="18"/>
    </w:rPr>
  </w:style>
  <w:style w:type="character" w:styleId="Refdecomentario">
    <w:name w:val="annotation reference"/>
    <w:basedOn w:val="Fuentedeprrafopredeter"/>
    <w:uiPriority w:val="99"/>
    <w:semiHidden/>
    <w:unhideWhenUsed/>
    <w:rsid w:val="007F3307"/>
    <w:rPr>
      <w:sz w:val="16"/>
      <w:szCs w:val="16"/>
    </w:rPr>
  </w:style>
  <w:style w:type="paragraph" w:styleId="Textocomentario">
    <w:name w:val="annotation text"/>
    <w:basedOn w:val="Normal"/>
    <w:link w:val="TextocomentarioCar"/>
    <w:uiPriority w:val="99"/>
    <w:unhideWhenUsed/>
    <w:rsid w:val="007F3307"/>
    <w:pPr>
      <w:spacing w:line="240" w:lineRule="auto"/>
    </w:pPr>
    <w:rPr>
      <w:sz w:val="20"/>
      <w:szCs w:val="20"/>
    </w:rPr>
  </w:style>
  <w:style w:type="character" w:customStyle="1" w:styleId="TextocomentarioCar">
    <w:name w:val="Texto comentario Car"/>
    <w:basedOn w:val="Fuentedeprrafopredeter"/>
    <w:link w:val="Textocomentario"/>
    <w:uiPriority w:val="99"/>
    <w:rsid w:val="007F3307"/>
    <w:rPr>
      <w:sz w:val="20"/>
      <w:szCs w:val="20"/>
    </w:rPr>
  </w:style>
  <w:style w:type="paragraph" w:styleId="Asuntodelcomentario">
    <w:name w:val="annotation subject"/>
    <w:basedOn w:val="Textocomentario"/>
    <w:next w:val="Textocomentario"/>
    <w:link w:val="AsuntodelcomentarioCar"/>
    <w:uiPriority w:val="99"/>
    <w:semiHidden/>
    <w:unhideWhenUsed/>
    <w:rsid w:val="007F3307"/>
    <w:rPr>
      <w:b/>
      <w:bCs/>
    </w:rPr>
  </w:style>
  <w:style w:type="character" w:customStyle="1" w:styleId="AsuntodelcomentarioCar">
    <w:name w:val="Asunto del comentario Car"/>
    <w:basedOn w:val="TextocomentarioCar"/>
    <w:link w:val="Asuntodelcomentario"/>
    <w:uiPriority w:val="99"/>
    <w:semiHidden/>
    <w:rsid w:val="007F3307"/>
    <w:rPr>
      <w:b/>
      <w:bCs/>
      <w:sz w:val="20"/>
      <w:szCs w:val="20"/>
    </w:rPr>
  </w:style>
  <w:style w:type="paragraph" w:styleId="Revisin">
    <w:name w:val="Revision"/>
    <w:hidden/>
    <w:uiPriority w:val="99"/>
    <w:semiHidden/>
    <w:rsid w:val="00484ED2"/>
    <w:pPr>
      <w:spacing w:after="0" w:line="240" w:lineRule="auto"/>
    </w:pPr>
  </w:style>
  <w:style w:type="character" w:customStyle="1" w:styleId="PrrafodelistaCar">
    <w:name w:val="Párrafo de lista Car"/>
    <w:link w:val="Prrafodelista"/>
    <w:uiPriority w:val="34"/>
    <w:rsid w:val="00006E54"/>
  </w:style>
  <w:style w:type="paragraph" w:styleId="NormalWeb">
    <w:name w:val="Normal (Web)"/>
    <w:basedOn w:val="Normal"/>
    <w:uiPriority w:val="99"/>
    <w:semiHidden/>
    <w:unhideWhenUsed/>
    <w:rsid w:val="003B3D5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53606">
      <w:bodyDiv w:val="1"/>
      <w:marLeft w:val="0"/>
      <w:marRight w:val="0"/>
      <w:marTop w:val="0"/>
      <w:marBottom w:val="0"/>
      <w:divBdr>
        <w:top w:val="none" w:sz="0" w:space="0" w:color="auto"/>
        <w:left w:val="none" w:sz="0" w:space="0" w:color="auto"/>
        <w:bottom w:val="none" w:sz="0" w:space="0" w:color="auto"/>
        <w:right w:val="none" w:sz="0" w:space="0" w:color="auto"/>
      </w:divBdr>
      <w:divsChild>
        <w:div w:id="504395583">
          <w:marLeft w:val="0"/>
          <w:marRight w:val="0"/>
          <w:marTop w:val="0"/>
          <w:marBottom w:val="0"/>
          <w:divBdr>
            <w:top w:val="none" w:sz="0" w:space="0" w:color="auto"/>
            <w:left w:val="none" w:sz="0" w:space="0" w:color="auto"/>
            <w:bottom w:val="none" w:sz="0" w:space="0" w:color="auto"/>
            <w:right w:val="none" w:sz="0" w:space="0" w:color="auto"/>
          </w:divBdr>
          <w:divsChild>
            <w:div w:id="1157379613">
              <w:marLeft w:val="0"/>
              <w:marRight w:val="0"/>
              <w:marTop w:val="0"/>
              <w:marBottom w:val="0"/>
              <w:divBdr>
                <w:top w:val="none" w:sz="0" w:space="0" w:color="auto"/>
                <w:left w:val="none" w:sz="0" w:space="0" w:color="auto"/>
                <w:bottom w:val="none" w:sz="0" w:space="0" w:color="auto"/>
                <w:right w:val="none" w:sz="0" w:space="0" w:color="auto"/>
              </w:divBdr>
              <w:divsChild>
                <w:div w:id="11862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CPCC-RMONROY</dc:creator>
  <cp:keywords/>
  <dc:description/>
  <cp:lastModifiedBy>Margarita Whitfield Melgar</cp:lastModifiedBy>
  <cp:revision>2</cp:revision>
  <cp:lastPrinted>2024-08-02T21:47:00Z</cp:lastPrinted>
  <dcterms:created xsi:type="dcterms:W3CDTF">2024-08-02T21:57:00Z</dcterms:created>
  <dcterms:modified xsi:type="dcterms:W3CDTF">2024-08-02T21:57:00Z</dcterms:modified>
</cp:coreProperties>
</file>